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AI Features and Machine Learning.</w:t>
      </w:r>
      <w:r>
        <w:rPr/>
        <w:t xml:space="preserve"> The Service includes features powered by artificial intelligence and machine learning ("AI Features"). The following terms govern their use.</w:t>
      </w:r>
    </w:p>
    <w:p>
      <w:pPr>
        <w:spacing w:lineRule="auto"/>
      </w:pPr>
      <w:r>
        <w:rPr>
          <w:b/>
        </w:rPr>
        <w:t xml:space="preserve">1.6.1 Training on Aggregated Data.</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Provider will (a) aggregate Usage Data and Customer Content before use for model training, and (b) use commercially reasonable efforts consistent with industry-standard technology to de-identify Usage Data and Customer Content before such use. Nothing in this section reduces or limits Provider's obligations regarding Personal Data under Applicable Data Protection Laws.</w:t>
      </w:r>
    </w:p>
    <w:p>
      <w:pPr>
        <w:spacing w:lineRule="auto"/>
      </w:pPr>
      <w:r>
        <w:rPr>
          <w:b/>
        </w:rPr>
        <w:t xml:space="preserve">1.6.2 AI Output Disclaimer.</w:t>
      </w:r>
      <w:r>
        <w:rPr/>
        <w:t xml:space="preserve"> AI Features are provided "AS IS" for the purpose of AI-generated outputs. Provider makes no warranty, express or implied, that AI-generated outputs will be accurate, complete, current, non-infringing, fit for any particular purpose, or free from errors, omissions, or fabricated content (commonly referred to as "hallucinations"). AI Features are not a substitute for human review, professional advice, or Customer's independent judgment. The limitations in this Section 1.6.2 are in addition to, and not in limitation of, the disclaimer in Section 8 (Disclaimer of Warranties).</w:t>
      </w:r>
    </w:p>
    <w:p>
      <w:pPr>
        <w:spacing w:lineRule="auto"/>
      </w:pPr>
      <w:r>
        <w:rPr>
          <w:b/>
        </w:rPr>
        <w:t xml:space="preserve">1.6.3 Ownership of AI Outputs.</w:t>
      </w:r>
      <w:r>
        <w:rPr/>
        <w:t xml:space="preserve"> As between the parties, Customer owns all inputs it submits to AI Features ("AI Inputs") and all outputs generated by AI Features in response to those inputs ("AI Outputs"), subject to Provider's underlying intellectual property rights in the AI Features themselves. Provider's rights in AI Outputs are limited to those needed to provide and maintain the Service as described in Section 1.5 (Customer Content).</w:t>
      </w:r>
    </w:p>
    <w:p>
      <w:pPr>
        <w:spacing w:lineRule="auto"/>
      </w:pPr>
      <w:r>
        <w:rPr>
          <w:b/>
        </w:rPr>
        <w:t xml:space="preserve">1.6.4 Customer Responsibility for AI Outputs.</w:t>
      </w:r>
      <w:r>
        <w:rPr/>
        <w:t xml:space="preserve"> Customer is solely responsible for reviewing AI Outputs before using them, sending them to third parties, incorporating them into Customer's materials, or relying on them for any business decision. Customer's use of AI Outputs is at Customer's own risk. Customer's indemnification obligations in Section 10 (Indemnification) extend to any claim arising from Customer's deployment or distribution of AI Outputs without adequate human review.</w:t>
      </w:r>
    </w:p>
    <w:p>
      <w:pPr>
        <w:spacing w:lineRule="auto"/>
      </w:pPr>
      <w:r>
        <w:rPr>
          <w:b/>
        </w:rPr>
        <w:t xml:space="preserve">1.6.5 Third-Party AI Model Providers.</w:t>
      </w:r>
      <w:r>
        <w:rPr/>
        <w:t xml:space="preserve"> Provider uses the following third-party AI model providers as subprocessors to power AI Features: OpenAI, L.L.C. (USA); Anthropic, PBC (USA); and Google LLC (USA). Provider uses these providers via commercial API tiers that, under Provider's agreements with those providers, do not permit the provider to use Customer Data to train their respective foundation models. Provider may add, remove, or substitute AI model providers in accordance with the subprocessor update process described in the applicable Data Processing Agreement.</w:t>
      </w:r>
    </w:p>
    <w:p>
      <w:pPr>
        <w:spacing w:lineRule="auto"/>
      </w:pPr>
      <w:r>
        <w:rPr>
          <w:b/>
        </w:rPr>
        <w:t xml:space="preserve">1.6.6 Autonomous AI Agents.</w:t>
      </w:r>
      <w:r>
        <w:rPr/>
        <w:t xml:space="preserve"> Certain AI Features operate as autonomous or semi-autonomous agents ("AI Agents") that may take sequences of actions, send messages, query data sources, or interact with third-party services on Customer's behalf, based on instructions and permissions Customer configures ("Customer-Configured Actions"). Customer acknowledges that (a) AI Agents act on Customer's behalf in accordance with Customer-Configured Actions; (b) Customer is solely responsible for the instructions, permissions, and scope it grants to AI Agents; (c) Customer is solely responsible for the consequences of actions taken by AI Agents within the scope of Customer-Configured Actions; and (d) Customer must ensure AI Agent use complies with Applicable Laws and the Acceptable Use obligations in Section 3.4 (Acceptable Use of AI Features and Outbound Communications).</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spacing w:lineRule="auto"/>
      </w:pPr>
      <w:r>
        <w:rPr>
          <w:b/>
        </w:rPr>
        <w:t xml:space="preserve">2.10 Third-Party and Enrichment Data.</w:t>
      </w:r>
    </w:p>
    <w:p>
      <w:pPr>
        <w:spacing w:lineRule="auto"/>
      </w:pPr>
      <w:r>
        <w:rPr>
          <w:b/>
        </w:rPr>
        <w:t xml:space="preserve">2.10.1 Third-Party Sources.</w:t>
      </w:r>
      <w:r>
        <w:rPr/>
        <w:t xml:space="preserve"> Certain data made available through the Service, including B2B Contact Data, Intent Data, and Website Visitor Identification Data (collectively, "Third-Party Data"), is sourced in whole or in part from third-party data providers. Provider does not independently verify Third-Party Data and provides it to Customer "AS IS" and "AS AVAILABLE" without warranty of accuracy, completeness, currentness, fitness for a particular purpose, or lawful origin. The disclaimers in Section 8 (Disclaimer of Warranties) apply in full to Third-Party Data.</w:t>
      </w:r>
    </w:p>
    <w:p>
      <w:pPr>
        <w:spacing w:lineRule="auto"/>
      </w:pPr>
      <w:r>
        <w:rPr>
          <w:b/>
        </w:rPr>
        <w:t xml:space="preserve">2.10.2 Customer Responsibility for Lawful Use.</w:t>
      </w:r>
      <w:r>
        <w:rPr/>
        <w:t xml:space="preserve"> Customer is solely responsible for evaluating the accuracy and suitability of Third-Party Data before acting on it and for ensuring that Customer's receipt, storage, use, and processing of Third-Party Data complies with all Applicable Laws, including Applicable Data Protection Laws. Customer's representations in Section 3.4.1 (Lawful Basis and Consent) apply to any Third-Party Data Customer uses to initiate outbound communications.</w:t>
      </w:r>
    </w:p>
    <w:p>
      <w:pPr>
        <w:spacing w:lineRule="auto"/>
      </w:pPr>
      <w:r>
        <w:rPr>
          <w:b/>
        </w:rPr>
        <w:t xml:space="preserve">2.10.3 No Data Vendor Warranties Pass Through.</w:t>
      </w:r>
      <w:r>
        <w:rPr/>
        <w:t xml:space="preserve"> Any warranties, representations, or indemnities that Provider may hold from its data suppliers are for Provider's benefit only and do not run to, or create any rights for, Customer unless expressly stated in an addendum signed by Provider.</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spacing w:lineRule="auto"/>
      </w:pPr>
      <w:r>
        <w:rPr>
          <w:b/>
        </w:rPr>
        <w:t xml:space="preserve">3.4 Acceptable Use of AI Features and Outbound Communications.</w:t>
      </w:r>
    </w:p>
    <w:p>
      <w:pPr>
        <w:spacing w:lineRule="auto"/>
      </w:pPr>
      <w:r>
        <w:rPr>
          <w:b/>
        </w:rPr>
        <w:t xml:space="preserve">3.4.1 Lawful Basis and Consent.</w:t>
      </w:r>
      <w:r>
        <w:rPr/>
        <w:t xml:space="preserve"> Customer represents and warrants that, before loading prospect data into the Service or using the Service to initiate communications with any individual, Customer has (a) a lawful basis under all Applicable Laws (including, where required, specific prior consent) to contact that individual; (b) complied with all applicable notice and opt-out requirements; and (c) the right to provide that individual's personal data to Provider for processing in connection with the Service.</w:t>
      </w:r>
    </w:p>
    <w:p>
      <w:pPr>
        <w:spacing w:lineRule="auto"/>
      </w:pPr>
      <w:r>
        <w:rPr>
          <w:b/>
        </w:rPr>
        <w:t xml:space="preserve">3.4.2 Outbound Communications Compliance.</w:t>
      </w:r>
      <w:r>
        <w:rPr/>
        <w:t xml:space="preserve"> Customer is solely responsible for ensuring that all outbound communications initiated through the Service (including emails, voicemails, text messages, LinkedIn messages, and any other channel) comply with all Applicable Laws and applicable third-party platform rules and terms of service, including without limitation: the U.S. CAN-SPAM Act; the U.S. Telephone Consumer Protection Act (TCPA) and applicable FCC rules; applicable state telemarketing and do-not-call laws; the EU ePrivacy Directive and any national implementing laws; the GDPR (where applicable); and the terms of service of third-party platforms through which communications are sent (including LinkedIn and similar professional networks). Provider makes no representation that use of the Service satisfies any particular Applicable Law or platform rule; compliance determinations are Customer's sole responsibility.</w:t>
      </w:r>
    </w:p>
    <w:p>
      <w:pPr>
        <w:spacing w:lineRule="auto"/>
      </w:pPr>
      <w:r>
        <w:rPr>
          <w:b/>
        </w:rPr>
        <w:t xml:space="preserve">3.4.3 Unsubscribe, Opt-Out, and Suppression.</w:t>
      </w:r>
      <w:r>
        <w:rPr/>
        <w:t xml:space="preserve"> Customer will ensure that all email, sequence, campaign, newsletter, and other commercial communications sent using the Service include and honor the unsubscribe, opt-out, and suppression mechanisms required by Applicable Laws and applicable platform rules. The Service provides opt-out and suppression functionality designed to support Customer's compliance obligations, which may include one-click unsubscribe signaling (such as List-Unsubscribe and List-Unsubscribe-Post headers), unsubscribe links, suppression checks, and related tooling; the specific mechanisms available may depend on the type of send and account configuration. Customer will not remove, disable, obscure, bypass, or interfere with any unsubscribe, opt-out, or suppression functionality provided by the Service, and will promptly honor all opt-out, unsubscribe, objection, deletion, and do-not-contact requests received from recipients through any channel. When a recipient unsubscribes, opts out, bounces, submits a spam complaint, or otherwise requests removal, Provider may add the recipient or related contact information to an account-level suppression registry used to prevent further communications through the Service across current and future campaigns. Customer authorizes Provider to retain suppression records after expiration or termination of the applicable account, Order Form, or Agreement as reasonably necessary to honor opt-out requests, comply with Applicable Laws, protect deliverability, and prevent abuse. Provider's unsubscribe, opt-out, and suppression tools are designed to support Customer's compliance obligations but do not replace Customer's independent responsibility to determine the lawful basis, consent status, sender identity, message content, targeting, and legal permissibility of each communication.</w:t>
      </w:r>
    </w:p>
    <w:p>
      <w:pPr>
        <w:spacing w:lineRule="auto"/>
      </w:pPr>
      <w:r>
        <w:rPr>
          <w:b/>
        </w:rPr>
        <w:t xml:space="preserve">3.4.4 Prohibited Outbound Uses.</w:t>
      </w:r>
      <w:r>
        <w:rPr/>
        <w:t xml:space="preserve"> Customer will not, and will not permit any User or AI Agent to, use the Service to send or facilitate communications that are: (a) unlawful under any Applicable Law; (b) deceptive or fraudulent, including use of false sender identities or misleading subject lines; (c) harassing or abusive; (d) discriminatory on the basis of any characteristic protected under Applicable Laws; or (e) in violation of the terms of service of any third-party platform through which the communication is transmitted.</w:t>
      </w:r>
    </w:p>
    <w:p>
      <w:pPr>
        <w:spacing w:lineRule="auto"/>
      </w:pPr>
      <w:r>
        <w:rPr>
          <w:b/>
        </w:rPr>
        <w:t xml:space="preserve">3.4.5 Prohibited AI Uses.</w:t>
      </w:r>
      <w:r>
        <w:rPr/>
        <w:t xml:space="preserve"> In addition to the restrictions in Section 3.1, Customer will not use AI Features to: (a) generate content intended to deceive any person about the human or AI origin of the communication where disclosure is required by Applicable Laws; (b) make automated decisions about individuals that have legally significant or similarly significant effects without implementing any human review or safeguards required by Applicable Laws; or (c) process Prohibited Data.</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Credits: Mechanics, Expiry, and Authoritative Records.</w:t>
      </w:r>
    </w:p>
    <w:p>
      <w:pPr>
        <w:spacing w:lineRule="auto"/>
      </w:pPr>
      <w:r>
        <w:rPr>
          <w:b/>
        </w:rPr>
        <w:t xml:space="preserve">5.6.1 Nature of Credits.</w:t>
      </w:r>
      <w:r>
        <w:rPr/>
        <w:t xml:space="preserve"> Credits are prepaid usage units purchased in advance by Customer and consumed on a metered basis as Customer uses the Service. Credits do not constitute a deposit, escrow, or financial instrument and carry no monetary redemption value outside the Service.</w:t>
      </w:r>
    </w:p>
    <w:p>
      <w:pPr>
        <w:spacing w:lineRule="auto"/>
      </w:pPr>
      <w:r>
        <w:rPr>
          <w:b/>
        </w:rPr>
        <w:t xml:space="preserve">5.6.2 Consumption.</w:t>
      </w:r>
      <w:r>
        <w:rPr/>
        <w:t xml:space="preserve"> Credits are deducted when Customer initiates a metered action (including data enrichment, voice AI minutes, AI agent actions, and any other metered feature). The number of credits required for each action is displayed to Customer in the user interface at or before the time of the action. For B2B data enrichment services, credits can be applied to any enrichment provider available on the Service. Provider's metering systems and transaction records are authoritative for purposes of determining credit consumption and account balances, absent manifest error. If Customer believes a credit deduction is in error, Customer must notify Provider within 10 business days of the deduction, after which the deduction is deemed accepted.</w:t>
      </w:r>
    </w:p>
    <w:p>
      <w:pPr>
        <w:spacing w:lineRule="auto"/>
      </w:pPr>
      <w:r>
        <w:rPr>
          <w:b/>
        </w:rPr>
        <w:t xml:space="preserve">5.6.3 Non-Refundability.</w:t>
      </w:r>
      <w:r>
        <w:rPr/>
        <w:t xml:space="preserve"> Except as expressly set out in Section 6.4 (Force Majeure) or a written Order Form, credits are non-refundable and have no cash value upon termination or expiry of the Agreement.</w:t>
      </w:r>
    </w:p>
    <w:p>
      <w:pPr>
        <w:spacing w:lineRule="auto"/>
      </w:pPr>
      <w:r>
        <w:rPr>
          <w:b/>
        </w:rPr>
        <w:t xml:space="preserve">5.6.4 Expiry.</w:t>
      </w:r>
      <w:r>
        <w:rPr/>
        <w:t xml:space="preserve"> Credits expire as set out in the Order Form. If the Order Form does not specify an expiry date, credits expire 12 months from the date of purchase. Expired credits are forfeited without refund.</w:t>
      </w:r>
    </w:p>
    <w:p>
      <w:pPr>
        <w:spacing w:lineRule="auto"/>
      </w:pPr>
      <w:r>
        <w:rPr>
          <w:b/>
        </w:rPr>
        <w:t xml:space="preserve">5.6.5 Price and Rate Changes.</w:t>
      </w:r>
      <w:r>
        <w:rPr/>
        <w:t xml:space="preserve"> Provider may change credit prices, credit conversion rates, or the number of credits required per action on not less than 30 days written notice to Customer. Continued use of the Service after the notice period constitutes acceptance of the updated rates. Changes do not affect credits Customer has already purchased, but do apply to new purchases and to ongoing metered consumption after the effective date.</w:t>
      </w:r>
    </w:p>
    <w:p>
      <w:pPr>
        <w:spacing w:lineRule="auto"/>
      </w:pPr>
      <w:r>
        <w:rPr>
          <w:b/>
        </w:rPr>
        <w:t xml:space="preserve">5.6.6 Payment Processor.</w:t>
      </w:r>
      <w:r>
        <w:rPr/>
        <w:t xml:space="preserve"> Payment for credits and Fees is processed by Stripe, Inc. as Provider's payment processor. By submitting payment information, Customer agrees to Stripe's then-current terms of service and privacy policy. Provider does not store Customer's full payment card details.</w:t>
      </w:r>
    </w:p>
    <w:p>
      <w:pPr>
        <w:spacing w:lineRule="auto"/>
      </w:pPr>
      <w:r>
        <w:rPr>
          <w:b/>
        </w:rPr>
        <w:t xml:space="preserve">5.6.7 Taxes.</w:t>
      </w:r>
      <w:r>
        <w:rPr/>
        <w:t xml:space="preserve"> All credits and Fees are exclusive of taxes. Customer is responsible for all sales, use, VAT, GST, withholding, and other taxes imposed on credit purchases and Fee payments, except for Provider's income taxes. Where Provider is legally required to collect tax, Provider will add it to the invoice and Customer will pay it.</w:t>
      </w:r>
    </w:p>
    <w:p>
      <w:pPr>
        <w:spacing w:lineRule="auto"/>
      </w:pPr>
      <w:r>
        <w:rPr>
          <w:b/>
        </w:rPr>
        <w:t xml:space="preserve">5.6.8 Account Dashboard.</w:t>
      </w:r>
      <w:r>
        <w:rPr/>
        <w:t xml:space="preserve"> Credit usage, voice AI usage, and account balance are viewable in Customer's account dashboard. Third-party tool charges appear as separate line items in the credit ledger as described in Section 5.7.6.</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spacing w:lineRule="auto"/>
      </w:pPr>
      <w:r>
        <w:rPr>
          <w:b/>
        </w:rPr>
        <w:t xml:space="preserve">8.1 AI Features Disclaimer.</w:t>
      </w:r>
      <w:r>
        <w:rPr/>
        <w:t xml:space="preserve"> Without limiting the foregoing, Provider expressly disclaims any warranty that AI-generated outputs will be accurate, complete, non-infringing, or fit for any particular purpose. AI Features may produce outputs that are incorrect, outdated, biased, or otherwise unsuitable for Customer's intended use. Provider makes no warranty that AI Features will satisfy requirements of any Applicable Law, professional standard, or regulatory framework. Provider is not responsible for any harm arising from Customer's reliance on AI-generated outputs without independent verification.</w:t>
      </w:r>
    </w:p>
    <w:p>
      <w:pPr>
        <w:spacing w:lineRule="auto"/>
      </w:pPr>
      <w:r>
        <w:rPr>
          <w:b/>
        </w:rPr>
        <w:t xml:space="preserve">8.2 Third-Party and Enrichment Data Disclaimer.</w:t>
      </w:r>
      <w:r>
        <w:rPr/>
        <w:t xml:space="preserve"> Data Products and other Third-Party Data made available through the Service are provided "AS IS" and "AS AVAILABLE." Provider makes no warranty, express or implied, that Third-Party Data is accurate, complete, current, lawfully sourced, or fit for any particular purpose, including outbound prospecting, marketing, or sales. Customer bears all risk arising from its use of Third-Party Data.</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 Without limiting the foregoing, Customer's indemnification obligation expressly includes all claims, penalties, fines, regulatory actions, and liabilities (including reasonable attorneys' fees) arising from or relating to: (a) Customer's or any User's outbound communications sent through the Service, including claims under CAN-SPAM, TCPA, GDPR, ePrivacy laws, and applicable state or foreign equivalents; (b) Customer's violation of any third-party platform's terms of service (including LinkedIn or similar professional networks) in connection with use of the Service; (c) Customer's use of or reliance on AI-generated outputs without adequate human review; (d) AI Agent actions taken within the scope of Customer-Configured Actions; (e) Customer's use of Third-Party Data in violation of Applicable Laws; and (f) any allegation that Customer lacked a lawful basis or required consent to contact an individual using the Service.</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